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enter" w:pos="4536" w:leader="none"/>
          <w:tab w:val="right" w:pos="9072" w:leader="none"/>
          <w:tab w:val="left" w:pos="10773" w:leader="none"/>
        </w:tabs>
        <w:jc w:val="cent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FINANČNÍ ÚŘAD PRO JIHOMORAVSKÝ KRAJ</w:t>
      </w:r>
    </w:p>
    <w:p>
      <w:pPr>
        <w:pStyle w:val="Zhlav"/>
        <w:tabs>
          <w:tab w:val="center" w:pos="4536" w:leader="none"/>
          <w:tab w:val="right" w:pos="9072" w:leader="none"/>
          <w:tab w:val="left" w:pos="10773" w:leader="none"/>
        </w:tabs>
        <w:jc w:val="cent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nám. Svobody 4, 602 00 Brno</w:t>
      </w:r>
    </w:p>
    <w:p>
      <w:pPr>
        <w:pStyle w:val="Zhlav"/>
        <w:tabs>
          <w:tab w:val="center" w:pos="4536" w:leader="none"/>
          <w:tab w:val="right" w:pos="9072" w:leader="none"/>
          <w:tab w:val="left" w:pos="10773" w:leader="none"/>
        </w:tabs>
        <w:jc w:val="center"/>
        <w:rPr>
          <w:i/>
          <w:i/>
          <w:iCs/>
        </w:rPr>
      </w:pPr>
      <w:r>
        <w:rPr>
          <w:rFonts w:cs="Arial" w:ascii="Arial" w:hAnsi="Arial"/>
          <w:iCs/>
        </w:rPr>
        <w:t>Tel.: 542 191 111</w:t>
      </w:r>
    </w:p>
    <w:p>
      <w:pPr>
        <w:pStyle w:val="Normal"/>
        <w:spacing w:before="0" w:after="0"/>
        <w:jc w:val="both"/>
        <w:rPr>
          <w:b/>
          <w:b/>
          <w:sz w:val="10"/>
          <w:szCs w:val="24"/>
        </w:rPr>
      </w:pPr>
      <w:r>
        <w:rPr>
          <w:b/>
          <w:sz w:val="10"/>
          <w:szCs w:val="24"/>
        </w:rPr>
      </w:r>
    </w:p>
    <w:p>
      <w:pPr>
        <w:pStyle w:val="NormalWeb"/>
        <w:spacing w:before="280" w:after="280"/>
        <w:rPr>
          <w:rFonts w:ascii="Calibri" w:hAnsi="Calibri"/>
          <w:b/>
          <w:b/>
          <w:bCs/>
          <w:color w:val="0070C0"/>
          <w:sz w:val="36"/>
          <w:szCs w:val="36"/>
        </w:rPr>
      </w:pPr>
      <w:r>
        <w:rPr>
          <w:rFonts w:ascii="Calibri" w:hAnsi="Calibri"/>
          <w:b/>
          <w:bCs/>
          <w:color w:val="0070C0"/>
          <w:sz w:val="40"/>
          <w:szCs w:val="40"/>
        </w:rPr>
        <w:t xml:space="preserve">Termín pro papírové přiznání se blíží </w:t>
      </w:r>
      <w:r>
        <w:rPr>
          <w:rFonts w:ascii="Calibri" w:hAnsi="Calibri"/>
          <w:color w:val="0070C0"/>
          <w:sz w:val="32"/>
          <w:szCs w:val="32"/>
        </w:rPr>
        <w:t>(tisková zpráva)</w:t>
      </w:r>
    </w:p>
    <w:p>
      <w:pPr>
        <w:pStyle w:val="Normal"/>
        <w:jc w:val="both"/>
        <w:rPr>
          <w:rFonts w:ascii="Calibri" w:hAnsi="Calibri"/>
          <w:b/>
          <w:b/>
          <w:bCs/>
        </w:rPr>
      </w:pPr>
      <w:r>
        <w:rPr>
          <w:b/>
          <w:bCs/>
        </w:rPr>
        <w:t>Termín pro podání papírového přiznání k dani z příjmů připadá letos na 2. duben 2024. Zaměstnanci Finančního úřadu pro Jihomoravský kraj pomohou s vyplněním a odevzdáním daňového přiznání na výjezdech v šesti obcích v kraji. Zároveň úřad prodlužuje úřední dobu v posledních dnech před termínem.</w:t>
      </w:r>
    </w:p>
    <w:p>
      <w:pPr>
        <w:pStyle w:val="Normal"/>
        <w:jc w:val="both"/>
        <w:rPr>
          <w:rFonts w:ascii="Calibri" w:hAnsi="Calibri"/>
        </w:rPr>
      </w:pPr>
      <w:r>
        <w:rPr/>
        <w:t xml:space="preserve">Zaměstnanci finančního úřadu vyjedou </w:t>
      </w:r>
      <w:r>
        <w:rPr>
          <w:b/>
          <w:bCs/>
        </w:rPr>
        <w:t>do šesti jihomoravských obcí</w:t>
      </w:r>
      <w:r>
        <w:rPr/>
        <w:t>:</w:t>
      </w:r>
    </w:p>
    <w:p>
      <w:pPr>
        <w:pStyle w:val="Normal"/>
        <w:jc w:val="both"/>
        <w:rPr>
          <w:rFonts w:ascii="Calibri" w:hAnsi="Calibri"/>
        </w:rPr>
      </w:pPr>
      <w:r>
        <w:rPr/>
        <w:drawing>
          <wp:inline distT="0" distB="0" distL="0" distR="0">
            <wp:extent cx="5851525" cy="3411220"/>
            <wp:effectExtent l="0" t="0" r="0" b="0"/>
            <wp:docPr id="1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nímek obrazovky, Písmo, čís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982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Calibri" w:hAnsi="Calibri"/>
        </w:rPr>
      </w:pPr>
      <w:r>
        <w:rPr/>
        <w:t xml:space="preserve">Finanční úřad pro Jihomoravský kraj také </w:t>
      </w:r>
      <w:r>
        <w:rPr>
          <w:b/>
          <w:bCs/>
        </w:rPr>
        <w:t>od pondělí 25. března do úterý 2. dubna rozšíří úřední hodiny</w:t>
      </w:r>
      <w:r>
        <w:rPr/>
        <w:t xml:space="preserve"> podatelen na všech svých pracovištích, a to ve všech pracovních dnech </w:t>
      </w:r>
      <w:r>
        <w:rPr>
          <w:b/>
          <w:bCs/>
        </w:rPr>
        <w:t>od 8 do 17 hodin</w:t>
      </w:r>
      <w:r>
        <w:rPr/>
        <w:t>. V hotovosti lze daň zaplatit pouze na pracovišti Brno I (ulice Příkop 25, Brno).</w:t>
      </w:r>
    </w:p>
    <w:p>
      <w:pPr>
        <w:pStyle w:val="Normal"/>
        <w:jc w:val="both"/>
        <w:rPr>
          <w:rFonts w:ascii="Calibri" w:hAnsi="Calibri"/>
        </w:rPr>
      </w:pPr>
      <w:r>
        <w:rPr/>
        <w:t>Přiznání lze vyplnit i podat elektronicky prostřednictvím elektronických formulářů v aplikaci </w:t>
      </w:r>
      <w:hyperlink r:id="rId3" w:tgtFrame="Odkaz na externí web">
        <w:r>
          <w:rPr>
            <w:rStyle w:val="Internetovodkaz"/>
          </w:rPr>
          <w:t>MOJE daně</w:t>
        </w:r>
      </w:hyperlink>
      <w:r>
        <w:rPr/>
        <w:t>. V případě, že se poplatník rozhodne pro </w:t>
      </w:r>
      <w:hyperlink r:id="rId4">
        <w:r>
          <w:rPr>
            <w:rStyle w:val="Internetovodkaz"/>
          </w:rPr>
          <w:t>elektronickou formu</w:t>
        </w:r>
      </w:hyperlink>
      <w:r>
        <w:rPr/>
        <w:t xml:space="preserve"> podání (OSVČ s datovou schránkou má elektronickou formu povinnou), končí mu zákonná lhůta pro podání přiznání </w:t>
      </w:r>
      <w:r>
        <w:rPr>
          <w:b/>
          <w:bCs/>
        </w:rPr>
        <w:t>o měsíc později, tedy 2. května 2024</w:t>
      </w:r>
      <w:r>
        <w:rPr/>
        <w:t xml:space="preserve">. </w:t>
      </w:r>
    </w:p>
    <w:p>
      <w:pPr>
        <w:pStyle w:val="Normal"/>
        <w:jc w:val="both"/>
        <w:rPr>
          <w:rFonts w:ascii="Calibri" w:hAnsi="Calibri"/>
        </w:rPr>
      </w:pPr>
      <w:r>
        <w:rPr/>
        <w:t>S využitím služeb daňového poradce nebo advokáta lze podat přiznání do 1. července 2024. Stejná lhůta platí i pro daňové subjekty, které mají zákonem uloženou povinnost mít účetní závěrku ověřenou auditorem.</w:t>
      </w:r>
    </w:p>
    <w:p>
      <w:pPr>
        <w:pStyle w:val="Normal"/>
        <w:jc w:val="both"/>
        <w:rPr>
          <w:rFonts w:ascii="Calibri" w:hAnsi="Calibri"/>
        </w:rPr>
      </w:pPr>
      <w:r>
        <w:rPr/>
        <w:t>Podrobnější informace k dani z příjmů fyzických osob za rok 2023 jsou uveřejněny na </w:t>
      </w:r>
      <w:hyperlink r:id="rId5" w:tgtFrame="Fyzické osoby">
        <w:r>
          <w:rPr>
            <w:rStyle w:val="Internetovodkaz"/>
          </w:rPr>
          <w:t>webových stránkách finanční správy</w:t>
        </w:r>
      </w:hyperlink>
      <w:r>
        <w:rPr/>
        <w:t> včetně </w:t>
      </w:r>
      <w:hyperlink r:id="rId6" w:tgtFrame="Daň z příjmů fyzických osob">
        <w:r>
          <w:rPr>
            <w:rStyle w:val="Internetovodkaz"/>
          </w:rPr>
          <w:t>odpovědí</w:t>
        </w:r>
      </w:hyperlink>
      <w:r>
        <w:rPr/>
        <w:t> na nejčastější dotazy.</w:t>
      </w:r>
    </w:p>
    <w:p>
      <w:pPr>
        <w:pStyle w:val="NormalWeb"/>
        <w:spacing w:beforeAutospacing="0" w:before="0" w:after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Brně dne 13. 3. 2024</w:t>
      </w:r>
    </w:p>
    <w:p>
      <w:pPr>
        <w:pStyle w:val="NormalWeb"/>
        <w:spacing w:beforeAutospacing="0" w:before="0" w:after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JUDr. David Stančík, LL.M.</w:t>
      </w:r>
    </w:p>
    <w:p>
      <w:pPr>
        <w:pStyle w:val="NormalWeb"/>
        <w:spacing w:beforeAutospacing="0" w:before="0" w:after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tiskový mluvčí</w:t>
        <w:br/>
        <w:t>Finanční úřad pro Jihomoravský kraj</w:t>
      </w:r>
    </w:p>
    <w:p>
      <w:pPr>
        <w:pStyle w:val="NormalWeb"/>
        <w:spacing w:beforeAutospacing="0" w:before="0" w:afterAutospacing="0" w:after="0"/>
        <w:rPr>
          <w:rFonts w:ascii="Calibri" w:hAnsi="Calibri" w:eastAsia="" w:cs="Tahoma" w:eastAsiaTheme="minorEastAsia"/>
          <w:color w:val="000000"/>
        </w:rPr>
      </w:pPr>
      <w:r>
        <w:rPr>
          <w:rFonts w:ascii="Calibri" w:hAnsi="Calibri"/>
          <w:sz w:val="22"/>
          <w:szCs w:val="22"/>
        </w:rPr>
        <w:t>náměstí Svobody 4, Brno</w:t>
      </w:r>
    </w:p>
    <w:sectPr>
      <w:headerReference w:type="default" r:id="rId7"/>
      <w:type w:val="nextPage"/>
      <w:pgSz w:w="11906" w:h="16838"/>
      <w:pgMar w:left="1417" w:right="1274" w:header="426" w:top="2269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-972820</wp:posOffset>
          </wp:positionH>
          <wp:positionV relativeFrom="paragraph">
            <wp:posOffset>-219075</wp:posOffset>
          </wp:positionV>
          <wp:extent cx="7560310" cy="1286510"/>
          <wp:effectExtent l="0" t="0" r="0" b="0"/>
          <wp:wrapNone/>
          <wp:docPr id="2" name="Obrázek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"/>
      <w:rPr/>
    </w:pPr>
    <w:r>
      <w:rPr/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qFormat/>
    <w:rsid w:val="006108d5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color w:val="00428B"/>
      <w:kern w:val="2"/>
      <w:sz w:val="31"/>
      <w:szCs w:val="31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qFormat/>
    <w:rsid w:val="00a44ed9"/>
    <w:rPr/>
  </w:style>
  <w:style w:type="character" w:styleId="ZpatChar" w:customStyle="1">
    <w:name w:val="Zápatí Char"/>
    <w:basedOn w:val="DefaultParagraphFont"/>
    <w:link w:val="Zpat"/>
    <w:uiPriority w:val="99"/>
    <w:qFormat/>
    <w:rsid w:val="00a44ed9"/>
    <w:rPr/>
  </w:style>
  <w:style w:type="character" w:styleId="Internetovodkaz">
    <w:name w:val="Internetový odkaz"/>
    <w:uiPriority w:val="99"/>
    <w:unhideWhenUsed/>
    <w:rsid w:val="00a44ed9"/>
    <w:rPr>
      <w:color w:val="0000FF"/>
      <w:u w:val="single"/>
    </w:rPr>
  </w:style>
  <w:style w:type="character" w:styleId="Nadpis1Char" w:customStyle="1">
    <w:name w:val="Nadpis 1 Char"/>
    <w:basedOn w:val="DefaultParagraphFont"/>
    <w:link w:val="Nadpis1"/>
    <w:qFormat/>
    <w:rsid w:val="006108d5"/>
    <w:rPr>
      <w:rFonts w:ascii="Times New Roman" w:hAnsi="Times New Roman" w:eastAsia="Times New Roman" w:cs="Times New Roman"/>
      <w:b/>
      <w:bCs/>
      <w:color w:val="00428B"/>
      <w:kern w:val="2"/>
      <w:sz w:val="31"/>
      <w:szCs w:val="31"/>
      <w:lang w:eastAsia="cs-CZ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2b643f"/>
    <w:rPr>
      <w:color w:val="800080" w:themeColor="followedHyperlink"/>
      <w:u w:val="single"/>
    </w:rPr>
  </w:style>
  <w:style w:type="character" w:styleId="St1" w:customStyle="1">
    <w:name w:val="st1"/>
    <w:basedOn w:val="DefaultParagraphFont"/>
    <w:qFormat/>
    <w:rsid w:val="003964f7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21bd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779a9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41cb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841cb5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841c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6338c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nhideWhenUsed/>
    <w:rsid w:val="00a44ed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a44ed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3" w:customStyle="1">
    <w:name w:val="s3"/>
    <w:basedOn w:val="Normal"/>
    <w:qFormat/>
    <w:rsid w:val="004e5fdb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a61e5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21b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35b73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Spacing">
    <w:name w:val="No Spacing"/>
    <w:basedOn w:val="Normal"/>
    <w:uiPriority w:val="1"/>
    <w:qFormat/>
    <w:rsid w:val="004750f4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cs-CZ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841cb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841cb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475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mojedane.cz/" TargetMode="External"/><Relationship Id="rId4" Type="http://schemas.openxmlformats.org/officeDocument/2006/relationships/hyperlink" Target="mailto:https://www.financnisprava.cz/assets/cs/prilohy/fs-pro-media/Letak_Danove-priznani-online2024.pdf" TargetMode="External"/><Relationship Id="rId5" Type="http://schemas.openxmlformats.org/officeDocument/2006/relationships/hyperlink" Target="https://www.financnisprava.cz/cs/dane/dane/dan-z-prijmu/fyzicke-osoby" TargetMode="External"/><Relationship Id="rId6" Type="http://schemas.openxmlformats.org/officeDocument/2006/relationships/hyperlink" Target="https://www.financnisprava.cz/cs/dane/dane/dan-z-prijmu/dotazy-a-odpovedi/dan-z-prijmu-fyzickych-osob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814F-DAAB-4A78-9F63-BD2142B0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LibreOffice/6.4.4.2$Windows_X86_64 LibreOffice_project/3d775be2011f3886db32dfd395a6a6d1ca2630ff</Application>
  <Pages>2</Pages>
  <Words>243</Words>
  <Characters>1332</Characters>
  <CharactersWithSpaces>1562</CharactersWithSpaces>
  <Paragraphs>15</Paragraphs>
  <Company>GFŘ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2024-03-13T13:18:00Z</dcterms:created>
  <dc:creator>Jan Vávra (GFŘ)</dc:creator>
  <dc:description/>
  <dc:language>cs-CZ</dc:language>
  <cp:lastModifiedBy>Stančík David JUDr. LL.M. (FÚ pro Jihomoravský kraj)</cp:lastModifiedBy>
  <cp:lastPrinted>2015-04-27T13:06:00Z</cp:lastPrinted>
  <dcterms:modified xsi:type="dcterms:W3CDTF">2024-03-13T13:23:00Z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GFŘ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