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-575945</wp:posOffset>
            </wp:positionH>
            <wp:positionV relativeFrom="paragraph">
              <wp:posOffset>-23495</wp:posOffset>
            </wp:positionV>
            <wp:extent cx="2790825" cy="871855"/>
            <wp:effectExtent l="0" t="0" r="0" b="0"/>
            <wp:wrapTight wrapText="bothSides">
              <wp:wrapPolygon edited="0">
                <wp:start x="-243" y="0"/>
                <wp:lineTo x="-243" y="20980"/>
                <wp:lineTo x="21509" y="20980"/>
                <wp:lineTo x="21509" y="0"/>
                <wp:lineTo x="-243" y="0"/>
              </wp:wrapPolygon>
            </wp:wrapTight>
            <wp:docPr id="1" name="Obrázek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0" simplePos="0" locked="0" layoutInCell="1" allowOverlap="1" relativeHeight="3">
            <wp:simplePos x="0" y="0"/>
            <wp:positionH relativeFrom="column">
              <wp:posOffset>4211955</wp:posOffset>
            </wp:positionH>
            <wp:positionV relativeFrom="paragraph">
              <wp:posOffset>156845</wp:posOffset>
            </wp:positionV>
            <wp:extent cx="2066925" cy="382905"/>
            <wp:effectExtent l="0" t="0" r="0" b="0"/>
            <wp:wrapTight wrapText="bothSides">
              <wp:wrapPolygon edited="0">
                <wp:start x="-159" y="0"/>
                <wp:lineTo x="-159" y="20217"/>
                <wp:lineTo x="21486" y="20217"/>
                <wp:lineTo x="21486" y="0"/>
                <wp:lineTo x="-159" y="0"/>
              </wp:wrapPolygon>
            </wp:wrapTight>
            <wp:docPr id="2" name="Obrázek 5" descr="http://olomouc.hnutiduha.cz/data/Loga/M%C5%BD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5" descr="http://olomouc.hnutiduha.cz/data/Loga/M%C5%BDP_logo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mbria" w:hAnsi="Cambria"/>
          <w:b/>
          <w:b/>
          <w:sz w:val="28"/>
        </w:rPr>
      </w:pPr>
      <w:r>
        <w:rPr>
          <w:rFonts w:ascii="Cambria" w:hAnsi="Cambria"/>
          <w:b/>
          <w:sz w:val="28"/>
        </w:rPr>
        <w:t>„</w:t>
      </w:r>
      <w:r>
        <w:rPr>
          <w:rFonts w:ascii="Cambria" w:hAnsi="Cambria"/>
          <w:b/>
          <w:sz w:val="28"/>
        </w:rPr>
        <w:t>Rozšíření systému pro oddělený sběr odpadů na Tišnovsku“,          reg.č. CZ.05.3/29/0.0/0.0/19_126/0011673</w:t>
      </w:r>
    </w:p>
    <w:p>
      <w:pPr>
        <w:pStyle w:val="Normal"/>
        <w:jc w:val="both"/>
        <w:rPr>
          <w:rFonts w:ascii="Cambria" w:hAnsi="Cambria"/>
          <w:sz w:val="28"/>
        </w:rPr>
      </w:pPr>
      <w:r>
        <w:rPr>
          <w:rFonts w:ascii="Cambria" w:hAnsi="Cambria"/>
          <w:b/>
          <w:color w:val="auto"/>
          <w:sz w:val="24"/>
        </w:rPr>
        <w:t>Dobrovolný svazek obcí Tišnovsko</w:t>
      </w:r>
      <w:r>
        <w:rPr>
          <w:rFonts w:ascii="Cambria" w:hAnsi="Cambria"/>
          <w:color w:val="auto"/>
          <w:sz w:val="24"/>
        </w:rPr>
        <w:t xml:space="preserve"> získal v rámci žádosti o dotaci z Operačního programu životní prostředí prioritní osy 3 – „Odpady a materiálové toky, ekologické zátěže a rizika“, specifického cíle 3.2- „Zvýšení podílu materiálového a energetického využití odpadů“, výzva č. 126, dotaci ve výši 7 482 522,33 Kč. Naše obce byla jednou z celkově 22 subjektů zapojených do tohoto projektu.  Samotný projekt řešil pořízení nádob a velkoobjemových kontejnerů určených ke třídění odpadů v obcích na Tišnovsku ( Borač, Březina, Dolní Loučky, Doubravník, Horní Loučky, Hradčany, Kaly, Katov, Kuřimská Nová Ves, Lomnice, Lomnička, Maršov, Nedvědice, Olší, Předklášteří, Rašov, Skalička, Synalov, Štěpánovice, Tišnov, Vohančice, Vranov). Celkem bylo pořízeno 6 647 ks </w:t>
      </w:r>
      <w:r>
        <w:rPr>
          <w:rFonts w:cs="Calibri" w:ascii="Cambria" w:hAnsi="Cambria" w:cstheme="minorHAnsi"/>
          <w:color w:val="auto"/>
        </w:rPr>
        <w:t xml:space="preserve">nádob o objemu 120 l, 240 l, 770 l, 1100 l i 2150 l (papír, plast, bioodpad, oleje a tuky), </w:t>
      </w:r>
      <w:r>
        <w:rPr>
          <w:rFonts w:cs="Calibri" w:ascii="Cambria" w:hAnsi="Cambria" w:cstheme="minorHAnsi"/>
          <w:color w:val="auto"/>
          <w:sz w:val="24"/>
        </w:rPr>
        <w:t>dodavatelem kterých b</w:t>
      </w:r>
      <w:bookmarkStart w:id="0" w:name="_GoBack"/>
      <w:bookmarkEnd w:id="0"/>
      <w:r>
        <w:rPr>
          <w:rFonts w:cs="Calibri" w:ascii="Cambria" w:hAnsi="Cambria" w:cstheme="minorHAnsi"/>
          <w:color w:val="auto"/>
          <w:sz w:val="24"/>
        </w:rPr>
        <w:t xml:space="preserve">yla firma MEVA-TEC, s.r.o. se sídlem v Roudnici nad Labem. Naše obec tak pro své občany zajistila </w:t>
      </w:r>
      <w:r>
        <w:rPr>
          <w:rFonts w:eastAsia="Calibri" w:cs="Calibri" w:ascii="Cambria" w:hAnsi="Cambria" w:cstheme="minorHAnsi"/>
          <w:color w:val="auto"/>
          <w:kern w:val="0"/>
          <w:sz w:val="24"/>
          <w:szCs w:val="22"/>
          <w:lang w:val="cs-CZ" w:eastAsia="en-US" w:bidi="ar-SA"/>
        </w:rPr>
        <w:t>150</w:t>
      </w:r>
      <w:r>
        <w:rPr>
          <w:rFonts w:cs="Calibri" w:ascii="Cambria" w:hAnsi="Cambria" w:cstheme="minorHAnsi"/>
          <w:color w:val="auto"/>
          <w:sz w:val="24"/>
        </w:rPr>
        <w:t xml:space="preserve"> ks nových nádob, které jsou prostřednictvím uzavřených darovacích smluv rozdány zájemcům o třídění odpadu do užívání. Část obcí byla díky projektu svazku Tišnovsko vybavena i velkoobjemovými kontejnery o objemu v rozsahu od 1,65 m</w:t>
      </w:r>
      <w:r>
        <w:rPr>
          <w:rFonts w:cs="Calibri" w:ascii="Cambria" w:hAnsi="Cambria" w:cstheme="minorHAnsi"/>
          <w:color w:val="auto"/>
          <w:sz w:val="24"/>
          <w:vertAlign w:val="superscript"/>
        </w:rPr>
        <w:t>3</w:t>
      </w:r>
      <w:r>
        <w:rPr>
          <w:rFonts w:cs="Calibri" w:ascii="Cambria" w:hAnsi="Cambria" w:cstheme="minorHAnsi"/>
          <w:color w:val="auto"/>
          <w:sz w:val="24"/>
        </w:rPr>
        <w:t xml:space="preserve"> až 16 m</w:t>
      </w:r>
      <w:r>
        <w:rPr>
          <w:rFonts w:cs="Calibri" w:ascii="Cambria" w:hAnsi="Cambria" w:cstheme="minorHAnsi"/>
          <w:color w:val="auto"/>
          <w:sz w:val="24"/>
          <w:vertAlign w:val="superscript"/>
        </w:rPr>
        <w:t>3</w:t>
      </w:r>
      <w:r>
        <w:rPr>
          <w:rFonts w:cs="Calibri" w:ascii="Cambria" w:hAnsi="Cambria" w:cstheme="minorHAnsi"/>
          <w:color w:val="auto"/>
          <w:sz w:val="24"/>
        </w:rPr>
        <w:t xml:space="preserve">. Dodavatelem a výrobcem těchto kontejnerů byla česká firma KOVOK kontejnery, s.r.o. z Jeseníku. Obec Březina pořídila 2 ks kontejnerů o objemu </w:t>
      </w:r>
      <w:r>
        <w:rPr>
          <w:rFonts w:eastAsia="Calibri" w:cs="Calibri" w:ascii="Cambria" w:hAnsi="Cambria" w:cstheme="minorHAnsi"/>
          <w:color w:val="auto"/>
          <w:kern w:val="0"/>
          <w:sz w:val="24"/>
          <w:szCs w:val="22"/>
          <w:lang w:val="cs-CZ" w:eastAsia="en-US" w:bidi="ar-SA"/>
        </w:rPr>
        <w:t>16</w:t>
      </w:r>
      <w:r>
        <w:rPr>
          <w:rFonts w:cs="Calibri" w:ascii="Cambria" w:hAnsi="Cambria" w:cstheme="minorHAnsi"/>
          <w:color w:val="auto"/>
          <w:sz w:val="24"/>
        </w:rPr>
        <w:t xml:space="preserve"> m</w:t>
      </w:r>
      <w:r>
        <w:rPr>
          <w:rFonts w:cs="Calibri" w:ascii="Cambria" w:hAnsi="Cambria" w:cstheme="minorHAnsi"/>
          <w:color w:val="auto"/>
          <w:sz w:val="24"/>
          <w:vertAlign w:val="superscript"/>
        </w:rPr>
        <w:t>3</w:t>
      </w:r>
      <w:r>
        <w:rPr>
          <w:rFonts w:cs="Calibri" w:ascii="Cambria" w:hAnsi="Cambria" w:cstheme="minorHAnsi"/>
          <w:color w:val="auto"/>
          <w:sz w:val="24"/>
        </w:rPr>
        <w:t xml:space="preserve">, </w:t>
      </w:r>
      <w:r>
        <w:rPr>
          <w:rFonts w:eastAsia="Calibri" w:cs="Calibri" w:ascii="Cambria" w:hAnsi="Cambria" w:cstheme="minorHAnsi"/>
          <w:color w:val="auto"/>
          <w:kern w:val="0"/>
          <w:sz w:val="24"/>
          <w:szCs w:val="22"/>
          <w:lang w:val="cs-CZ" w:eastAsia="en-US" w:bidi="ar-SA"/>
        </w:rPr>
        <w:t>které nyní slouží k likvidaci BIO odpadu</w:t>
      </w:r>
      <w:r>
        <w:rPr>
          <w:rFonts w:cs="Calibri" w:ascii="Cambria" w:hAnsi="Cambria" w:cstheme="minorHAnsi"/>
          <w:color w:val="auto"/>
          <w:sz w:val="24"/>
        </w:rPr>
        <w:t>. Realizace projektu předpokládá snížení směsného komunálního odpadu kolem 30-40%,</w:t>
      </w:r>
      <w:r>
        <w:rPr>
          <w:rFonts w:cs="Calibri" w:ascii="Cambria" w:hAnsi="Cambria" w:cstheme="minorHAnsi"/>
          <w:sz w:val="24"/>
        </w:rPr>
        <w:t xml:space="preserve"> s plánovanou nově vybudovanou roční kapacitou 594,6 tun odpadu. Věříme, že tuto možnost rozšířeného třídění odpadů naši občané rádi využijí. </w:t>
      </w:r>
    </w:p>
    <w:p>
      <w:pPr>
        <w:pStyle w:val="Nadpis1"/>
        <w:spacing w:lineRule="auto" w:line="276" w:before="0" w:after="120"/>
        <w:contextualSpacing/>
        <w:rPr>
          <w:rFonts w:ascii="Cambria" w:hAnsi="Cambria" w:eastAsia="Times New Roman" w:cs="Calibri" w:cstheme="minorHAnsi"/>
          <w:b w:val="false"/>
          <w:b w:val="false"/>
          <w:bCs/>
          <w:sz w:val="24"/>
          <w:szCs w:val="22"/>
          <w:lang w:eastAsia="cs-CZ"/>
        </w:rPr>
      </w:pPr>
      <w:r>
        <w:rPr>
          <w:rFonts w:eastAsia="Times New Roman" w:cs="Calibri" w:ascii="Cambria" w:hAnsi="Cambria" w:cstheme="minorHAnsi"/>
          <w:b w:val="false"/>
          <w:bCs/>
          <w:sz w:val="24"/>
          <w:szCs w:val="22"/>
          <w:u w:val="single"/>
          <w:lang w:eastAsia="cs-CZ"/>
        </w:rPr>
        <w:t>Celkové způsobilé výdaje</w:t>
      </w:r>
      <w:r>
        <w:rPr>
          <w:rFonts w:eastAsia="Times New Roman" w:cs="Calibri" w:ascii="Cambria" w:hAnsi="Cambria" w:cstheme="minorHAnsi"/>
          <w:b w:val="false"/>
          <w:bCs/>
          <w:sz w:val="24"/>
          <w:szCs w:val="22"/>
          <w:lang w:eastAsia="cs-CZ"/>
        </w:rPr>
        <w:t xml:space="preserve">: </w:t>
      </w:r>
      <w:r>
        <w:rPr>
          <w:rFonts w:eastAsia="Times New Roman" w:cs="Calibri" w:ascii="Cambria" w:hAnsi="Cambria" w:cstheme="minorHAnsi"/>
          <w:bCs/>
          <w:sz w:val="24"/>
          <w:szCs w:val="22"/>
          <w:lang w:eastAsia="cs-CZ"/>
        </w:rPr>
        <w:t xml:space="preserve">8 802 967,45 </w:t>
      </w:r>
      <w:r>
        <w:rPr>
          <w:rFonts w:eastAsia="Times New Roman" w:cs="Calibri" w:ascii="Cambria" w:hAnsi="Cambria" w:cstheme="minorHAnsi"/>
          <w:b w:val="false"/>
          <w:bCs/>
          <w:sz w:val="24"/>
          <w:szCs w:val="22"/>
          <w:lang w:eastAsia="cs-CZ"/>
        </w:rPr>
        <w:t>Kč</w:t>
      </w:r>
    </w:p>
    <w:p>
      <w:pPr>
        <w:pStyle w:val="Nadpis1"/>
        <w:spacing w:lineRule="auto" w:line="276" w:before="0" w:after="120"/>
        <w:contextualSpacing/>
        <w:rPr>
          <w:rFonts w:ascii="Cambria" w:hAnsi="Cambria" w:eastAsia="Times New Roman" w:cs="Calibri" w:cstheme="minorHAnsi"/>
          <w:b w:val="false"/>
          <w:b w:val="false"/>
          <w:bCs/>
          <w:sz w:val="24"/>
          <w:szCs w:val="22"/>
          <w:lang w:eastAsia="cs-CZ"/>
        </w:rPr>
      </w:pPr>
      <w:r>
        <w:rPr>
          <w:rFonts w:eastAsia="Times New Roman" w:cs="Calibri" w:ascii="Cambria" w:hAnsi="Cambria" w:cstheme="minorHAnsi"/>
          <w:bCs/>
          <w:i/>
          <w:sz w:val="24"/>
          <w:szCs w:val="22"/>
          <w:lang w:eastAsia="cs-CZ"/>
        </w:rPr>
        <w:t>DOTACE EU</w:t>
      </w:r>
      <w:r>
        <w:rPr>
          <w:rFonts w:eastAsia="Times New Roman" w:cs="Calibri" w:ascii="Cambria" w:hAnsi="Cambria" w:cstheme="minorHAnsi"/>
          <w:bCs/>
          <w:sz w:val="24"/>
          <w:szCs w:val="22"/>
          <w:lang w:eastAsia="cs-CZ"/>
        </w:rPr>
        <w:t>:  7 482 522,33</w:t>
      </w:r>
      <w:r>
        <w:rPr>
          <w:rFonts w:eastAsia="Times New Roman" w:cs="Calibri" w:ascii="Cambria" w:hAnsi="Cambria" w:cstheme="minorHAnsi"/>
          <w:b w:val="false"/>
          <w:bCs/>
          <w:sz w:val="24"/>
          <w:szCs w:val="22"/>
          <w:lang w:eastAsia="cs-CZ"/>
        </w:rPr>
        <w:t xml:space="preserve"> Kč ( 85%)</w:t>
      </w:r>
    </w:p>
    <w:p>
      <w:pPr>
        <w:pStyle w:val="Nadpis1"/>
        <w:spacing w:lineRule="auto" w:line="276" w:before="0" w:after="120"/>
        <w:contextualSpacing/>
        <w:rPr>
          <w:rFonts w:ascii="Cambria" w:hAnsi="Cambria" w:eastAsia="Times New Roman" w:cs="Calibri" w:cstheme="minorHAnsi"/>
          <w:sz w:val="24"/>
          <w:szCs w:val="22"/>
          <w:lang w:eastAsia="cs-CZ"/>
        </w:rPr>
      </w:pPr>
      <w:r>
        <w:rPr>
          <w:rFonts w:eastAsia="Times New Roman" w:cs="Calibri" w:ascii="Cambria" w:hAnsi="Cambria" w:cstheme="minorHAnsi"/>
          <w:b w:val="false"/>
          <w:bCs/>
          <w:sz w:val="24"/>
          <w:szCs w:val="22"/>
          <w:u w:val="single"/>
          <w:lang w:eastAsia="cs-CZ"/>
        </w:rPr>
        <w:t>Vlastní zdroje financování</w:t>
      </w:r>
      <w:r>
        <w:rPr>
          <w:rFonts w:eastAsia="Times New Roman" w:cs="Calibri" w:ascii="Cambria" w:hAnsi="Cambria" w:cstheme="minorHAnsi"/>
          <w:b w:val="false"/>
          <w:bCs/>
          <w:sz w:val="24"/>
          <w:szCs w:val="22"/>
          <w:lang w:eastAsia="cs-CZ"/>
        </w:rPr>
        <w:t xml:space="preserve">: </w:t>
      </w:r>
      <w:r>
        <w:rPr>
          <w:rFonts w:eastAsia="Times New Roman" w:cs="Calibri" w:ascii="Cambria" w:hAnsi="Cambria" w:cstheme="minorHAnsi"/>
          <w:bCs/>
          <w:sz w:val="24"/>
          <w:szCs w:val="22"/>
          <w:lang w:eastAsia="cs-CZ"/>
        </w:rPr>
        <w:t>1 320 445,12</w:t>
      </w:r>
      <w:r>
        <w:rPr>
          <w:rFonts w:eastAsia="Times New Roman" w:cs="Calibri" w:ascii="Cambria" w:hAnsi="Cambria" w:cstheme="minorHAnsi"/>
          <w:b w:val="false"/>
          <w:bCs/>
          <w:sz w:val="24"/>
          <w:szCs w:val="22"/>
          <w:lang w:eastAsia="cs-CZ"/>
        </w:rPr>
        <w:t xml:space="preserve"> Kč ( 15%) </w:t>
      </w:r>
    </w:p>
    <w:p>
      <w:pPr>
        <w:pStyle w:val="Normal"/>
        <w:spacing w:lineRule="auto" w:line="240" w:before="0" w:afterAutospacing="1"/>
        <w:contextualSpacing/>
        <w:rPr>
          <w:rFonts w:ascii="Cambria" w:hAnsi="Cambria" w:eastAsia="Times New Roman" w:cs="Calibri" w:cstheme="minorHAnsi"/>
          <w:bCs/>
          <w:sz w:val="24"/>
          <w:lang w:eastAsia="cs-CZ"/>
        </w:rPr>
      </w:pPr>
      <w:r>
        <w:rPr>
          <w:rFonts w:eastAsia="Times New Roman" w:cs="Calibri" w:cstheme="minorHAnsi" w:ascii="Cambria" w:hAnsi="Cambria"/>
          <w:bCs/>
          <w:sz w:val="24"/>
          <w:lang w:eastAsia="cs-CZ"/>
        </w:rPr>
      </w:r>
    </w:p>
    <w:p>
      <w:pPr>
        <w:pStyle w:val="Normal"/>
        <w:spacing w:lineRule="auto" w:line="240" w:before="0" w:afterAutospacing="1"/>
        <w:contextualSpacing/>
        <w:rPr>
          <w:rFonts w:ascii="Cambria" w:hAnsi="Cambria" w:eastAsia="Times New Roman" w:cs="Calibri" w:cstheme="minorHAnsi"/>
          <w:sz w:val="24"/>
          <w:lang w:eastAsia="cs-CZ"/>
        </w:rPr>
      </w:pPr>
      <w:r>
        <w:rPr>
          <w:rFonts w:eastAsia="Times New Roman" w:cs="Calibri" w:ascii="Cambria" w:hAnsi="Cambria" w:cstheme="minorHAnsi"/>
          <w:bCs/>
          <w:sz w:val="24"/>
          <w:lang w:eastAsia="cs-CZ"/>
        </w:rPr>
        <w:t>Datum zahájení realizace projektu: 18.8.2021</w:t>
      </w:r>
    </w:p>
    <w:p>
      <w:pPr>
        <w:pStyle w:val="Normal"/>
        <w:spacing w:lineRule="auto" w:line="240" w:before="0" w:afterAutospacing="1"/>
        <w:contextualSpacing/>
        <w:rPr>
          <w:rFonts w:ascii="Cambria" w:hAnsi="Cambria" w:eastAsia="Times New Roman" w:cs="Calibri" w:cstheme="minorHAnsi"/>
          <w:sz w:val="24"/>
          <w:lang w:eastAsia="cs-CZ"/>
        </w:rPr>
      </w:pPr>
      <w:r>
        <w:rPr>
          <w:rFonts w:eastAsia="Times New Roman" w:cs="Calibri" w:ascii="Cambria" w:hAnsi="Cambria" w:cstheme="minorHAnsi"/>
          <w:bCs/>
          <w:sz w:val="24"/>
          <w:lang w:eastAsia="cs-CZ"/>
        </w:rPr>
        <w:t>Datum ukončení realizace projektu:  23.12.2021</w:t>
      </w:r>
    </w:p>
    <w:p>
      <w:pPr>
        <w:pStyle w:val="Normal"/>
        <w:rPr>
          <w:rFonts w:ascii="Cambria" w:hAnsi="Cambria" w:cs="Calibri" w:cstheme="minorHAnsi"/>
          <w:b/>
          <w:b/>
          <w:i/>
          <w:i/>
          <w:sz w:val="24"/>
        </w:rPr>
      </w:pPr>
      <w:r>
        <w:rPr>
          <w:rFonts w:cs="Calibri" w:cstheme="minorHAnsi" w:ascii="Cambria" w:hAnsi="Cambria"/>
          <w:b/>
          <w:i/>
          <w:sz w:val="24"/>
        </w:rPr>
      </w:r>
    </w:p>
    <w:p>
      <w:pPr>
        <w:pStyle w:val="Normal"/>
        <w:jc w:val="both"/>
        <w:rPr>
          <w:rFonts w:ascii="Cambria" w:hAnsi="Cambria" w:cs="Calibri" w:cstheme="minorHAnsi"/>
          <w:b/>
          <w:b/>
          <w:i/>
          <w:i/>
          <w:sz w:val="24"/>
        </w:rPr>
      </w:pPr>
      <w:r>
        <w:rPr>
          <w:rFonts w:cs="Calibri" w:ascii="Cambria" w:hAnsi="Cambria" w:cstheme="minorHAnsi"/>
          <w:b/>
          <w:i/>
          <w:sz w:val="24"/>
        </w:rPr>
        <w:t xml:space="preserve">Projekt je spolufinancován Evropskou unii – Fondem soudržnosti v rámci Operačního programu Životního prostředí. </w:t>
      </w:r>
    </w:p>
    <w:p>
      <w:pPr>
        <w:pStyle w:val="Normal"/>
        <w:spacing w:before="0" w:after="160"/>
        <w:jc w:val="both"/>
        <w:rPr>
          <w:rFonts w:ascii="Cambria" w:hAnsi="Cambria"/>
        </w:rPr>
      </w:pPr>
      <w:r>
        <w:rPr/>
      </w:r>
    </w:p>
    <w:sectPr>
      <w:headerReference w:type="default" r:id="rId4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  <w:p>
    <w:pPr>
      <w:pStyle w:val="Zhlav"/>
      <w:rPr/>
    </w:pPr>
    <w:r>
      <w:rPr/>
      <w:drawing>
        <wp:anchor behindDoc="0" distT="0" distB="0" distL="114300" distR="114300" simplePos="0" locked="0" layoutInCell="1" allowOverlap="1" relativeHeight="4">
          <wp:simplePos x="0" y="0"/>
          <wp:positionH relativeFrom="column">
            <wp:posOffset>2580005</wp:posOffset>
          </wp:positionH>
          <wp:positionV relativeFrom="paragraph">
            <wp:posOffset>618490</wp:posOffset>
          </wp:positionV>
          <wp:extent cx="1171575" cy="596265"/>
          <wp:effectExtent l="0" t="0" r="0" b="0"/>
          <wp:wrapTight wrapText="bothSides">
            <wp:wrapPolygon edited="0">
              <wp:start x="-170" y="0"/>
              <wp:lineTo x="-170" y="20533"/>
              <wp:lineTo x="21410" y="20533"/>
              <wp:lineTo x="21410" y="0"/>
              <wp:lineTo x="-170" y="0"/>
            </wp:wrapPolygon>
          </wp:wrapTight>
          <wp:docPr id="3" name="Obrázek 2" descr="C:\Users\DSO\Desktop\DSO Tišnovsko\znaky obcí, logo DSO\logo DS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C:\Users\DSO\Desktop\DSO Tišnovsko\znaky obcí, logo DSO\logo DSO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6"/>
    <w:qFormat/>
    <w:rsid w:val="00685dca"/>
    <w:pPr>
      <w:keepNext w:val="true"/>
      <w:keepLines/>
      <w:spacing w:lineRule="atLeast" w:line="720" w:before="120" w:after="120"/>
      <w:outlineLvl w:val="0"/>
    </w:pPr>
    <w:rPr>
      <w:rFonts w:ascii="Calibri Light" w:hAnsi="Calibri Light" w:eastAsia="" w:cs="" w:asciiTheme="majorHAnsi" w:cstheme="majorBidi" w:eastAsiaTheme="majorEastAsia" w:hAnsiTheme="majorHAnsi"/>
      <w:b/>
      <w:sz w:val="60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9e7757"/>
    <w:rPr/>
  </w:style>
  <w:style w:type="character" w:styleId="ZpatChar" w:customStyle="1">
    <w:name w:val="Zápatí Char"/>
    <w:basedOn w:val="DefaultParagraphFont"/>
    <w:link w:val="Zpat"/>
    <w:uiPriority w:val="99"/>
    <w:qFormat/>
    <w:rsid w:val="009e7757"/>
    <w:rPr/>
  </w:style>
  <w:style w:type="character" w:styleId="Nadpis1Char" w:customStyle="1">
    <w:name w:val="Nadpis 1 Char"/>
    <w:basedOn w:val="DefaultParagraphFont"/>
    <w:link w:val="Nadpis1"/>
    <w:uiPriority w:val="6"/>
    <w:qFormat/>
    <w:rsid w:val="00685dca"/>
    <w:rPr>
      <w:rFonts w:ascii="Calibri Light" w:hAnsi="Calibri Light" w:eastAsia="" w:cs="" w:asciiTheme="majorHAnsi" w:cstheme="majorBidi" w:eastAsiaTheme="majorEastAsia" w:hAnsiTheme="majorHAnsi"/>
      <w:b/>
      <w:sz w:val="60"/>
      <w:szCs w:val="3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9e775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9e775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LibreOffice/6.4.4.2$Windows_X86_64 LibreOffice_project/3d775be2011f3886db32dfd395a6a6d1ca2630ff</Application>
  <Pages>1</Pages>
  <Words>300</Words>
  <Characters>1755</Characters>
  <CharactersWithSpaces>2064</CharactersWithSpaces>
  <Paragraphs>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2022-03-29T10:31:00Z</dcterms:created>
  <dc:creator>Miriam Jedličková</dc:creator>
  <dc:description/>
  <dc:language>cs-CZ</dc:language>
  <cp:lastModifiedBy/>
  <cp:lastPrinted>2022-03-31T10:18:28Z</cp:lastPrinted>
  <dcterms:modified xsi:type="dcterms:W3CDTF">2022-03-31T10:29:59Z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